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8B4613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3DF76D1" w:rsidR="00F92268" w:rsidRPr="00FF66BF" w:rsidRDefault="00271405" w:rsidP="008B4613">
            <w:pPr>
              <w:pStyle w:val="RefTableData"/>
            </w:pPr>
            <w:r>
              <w:t>2178-A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7C62781" w:rsidR="004B15BB" w:rsidRPr="00BD1CC1" w:rsidRDefault="00271405" w:rsidP="007E5C16">
      <w:pPr>
        <w:pStyle w:val="Heading1"/>
      </w:pPr>
      <w:r w:rsidRPr="00271405">
        <w:t>Specialty Guideline Management</w:t>
      </w:r>
      <w:r w:rsidR="008C54D9" w:rsidRPr="00BD1CC1">
        <w:br/>
      </w:r>
      <w:r w:rsidRPr="00271405">
        <w:t>N</w:t>
      </w:r>
      <w:r>
        <w:t>e</w:t>
      </w:r>
      <w:r w:rsidRPr="00271405">
        <w:t>rlynx</w:t>
      </w:r>
    </w:p>
    <w:p w14:paraId="78861C92" w14:textId="1C450EE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46C355E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3C00EB">
        <w:t>Over-the-counter (</w:t>
      </w:r>
      <w:r w:rsidRPr="00BD1CC1">
        <w:t>OTC</w:t>
      </w:r>
      <w:r w:rsidR="003C00EB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77A2FAA" w:rsidR="00585FFF" w:rsidRPr="00BD1CC1" w:rsidRDefault="00271405" w:rsidP="00E82ABA">
            <w:pPr>
              <w:pStyle w:val="TableDataUnpadded"/>
            </w:pPr>
            <w:r w:rsidRPr="00271405">
              <w:t xml:space="preserve">Nerlynx </w:t>
            </w:r>
          </w:p>
        </w:tc>
        <w:tc>
          <w:tcPr>
            <w:tcW w:w="5595" w:type="dxa"/>
          </w:tcPr>
          <w:p w14:paraId="7E26A004" w14:textId="7C066DB0" w:rsidR="00585FFF" w:rsidRPr="00BD1CC1" w:rsidRDefault="00271405" w:rsidP="00E82ABA">
            <w:pPr>
              <w:pStyle w:val="TableDataUnpadded"/>
            </w:pPr>
            <w:r w:rsidRPr="00271405">
              <w:t>neratinib</w:t>
            </w:r>
          </w:p>
        </w:tc>
      </w:tr>
    </w:tbl>
    <w:bookmarkEnd w:id="0"/>
    <w:p w14:paraId="14CE6108" w14:textId="20585AC7" w:rsidR="00FC1AAD" w:rsidRPr="00C840CC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00EA916" w14:textId="153AB5E8" w:rsidR="00271405" w:rsidRPr="00271405" w:rsidRDefault="00271405" w:rsidP="00271405">
      <w:pPr>
        <w:pStyle w:val="BodyText"/>
      </w:pPr>
      <w:r w:rsidRPr="0027140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DA12D84" w:rsidR="00ED052F" w:rsidRDefault="00ED052F" w:rsidP="00ED052F">
      <w:pPr>
        <w:pStyle w:val="Heading3"/>
        <w:keepNext w:val="0"/>
      </w:pPr>
      <w:r w:rsidRPr="00BD1CC1">
        <w:t>FDA-approved Indications</w:t>
      </w:r>
      <w:r w:rsidR="00271405" w:rsidRPr="00B16E49">
        <w:rPr>
          <w:vertAlign w:val="superscript"/>
        </w:rPr>
        <w:t>1</w:t>
      </w:r>
    </w:p>
    <w:p w14:paraId="0DFFAB77" w14:textId="77777777" w:rsidR="00271405" w:rsidRPr="00B16E49" w:rsidRDefault="00271405" w:rsidP="00B16E49">
      <w:pPr>
        <w:pStyle w:val="ListParagraph"/>
        <w:numPr>
          <w:ilvl w:val="0"/>
          <w:numId w:val="31"/>
        </w:numPr>
        <w:contextualSpacing w:val="0"/>
      </w:pPr>
      <w:r w:rsidRPr="00B16E49">
        <w:t>Nerlynx is indicated as a single agent for the extended adjuvant treatment of adult patients with early-stage human epidermal growth factor receptor 2 (HER2)-positive breast cancer, to follow adjuvant trastuzumab-based therapy.</w:t>
      </w:r>
    </w:p>
    <w:p w14:paraId="526C1285" w14:textId="2461A54F" w:rsidR="00271405" w:rsidRPr="00B16E49" w:rsidRDefault="00271405" w:rsidP="00B16E49">
      <w:pPr>
        <w:pStyle w:val="ListParagraph"/>
        <w:numPr>
          <w:ilvl w:val="0"/>
          <w:numId w:val="31"/>
        </w:numPr>
        <w:contextualSpacing w:val="0"/>
      </w:pPr>
      <w:r w:rsidRPr="00B16E49">
        <w:t>Nerlynx is indicated in combination with capecitabine, for the treatment of adult patients with advanced or metastatic HER2-positive breast cancer who have received two or more prior anti-HER2 based regimens in the metastatic setting.</w:t>
      </w:r>
    </w:p>
    <w:p w14:paraId="0B5EC236" w14:textId="2144DF4E" w:rsidR="0044763A" w:rsidRDefault="009F2EF1" w:rsidP="0044763A">
      <w:pPr>
        <w:pStyle w:val="Heading3"/>
      </w:pPr>
      <w:r>
        <w:t>Compendial Uses</w:t>
      </w:r>
      <w:r w:rsidR="00271405" w:rsidRPr="00B16E49">
        <w:rPr>
          <w:vertAlign w:val="superscript"/>
        </w:rPr>
        <w:t>3</w:t>
      </w:r>
    </w:p>
    <w:p w14:paraId="55BBE44D" w14:textId="52723AD6" w:rsidR="00271405" w:rsidRPr="00B16E49" w:rsidRDefault="00271405" w:rsidP="00B16E49">
      <w:pPr>
        <w:pStyle w:val="ListParagraph"/>
        <w:numPr>
          <w:ilvl w:val="0"/>
          <w:numId w:val="32"/>
        </w:numPr>
        <w:contextualSpacing w:val="0"/>
      </w:pPr>
      <w:r w:rsidRPr="00B16E49">
        <w:t>HER2-positive breast cancer in combination with capecitabine</w:t>
      </w:r>
    </w:p>
    <w:p w14:paraId="6DB48599" w14:textId="03481590" w:rsidR="00271405" w:rsidRDefault="00271405" w:rsidP="00B16E49">
      <w:pPr>
        <w:pStyle w:val="ListParagraph"/>
        <w:numPr>
          <w:ilvl w:val="0"/>
          <w:numId w:val="32"/>
        </w:numPr>
        <w:contextualSpacing w:val="0"/>
      </w:pPr>
      <w:r w:rsidRPr="00B16E49">
        <w:t>Brain metastases from HER2-positive breast cancer in combination with capecitabine</w:t>
      </w:r>
    </w:p>
    <w:p w14:paraId="11C0FD7C" w14:textId="24D9A61D" w:rsidR="00DF307C" w:rsidRDefault="00DF307C" w:rsidP="00B16E49">
      <w:pPr>
        <w:pStyle w:val="ListParagraph"/>
        <w:numPr>
          <w:ilvl w:val="0"/>
          <w:numId w:val="32"/>
        </w:numPr>
        <w:contextualSpacing w:val="0"/>
      </w:pPr>
      <w:r>
        <w:t>Breast cancer with HER2 activating mutations</w:t>
      </w:r>
    </w:p>
    <w:p w14:paraId="7DC2C69E" w14:textId="2EC926B3" w:rsidR="006F516F" w:rsidRPr="00B16E49" w:rsidRDefault="006F516F" w:rsidP="00B16E49">
      <w:pPr>
        <w:pStyle w:val="ListParagraph"/>
        <w:numPr>
          <w:ilvl w:val="0"/>
          <w:numId w:val="32"/>
        </w:numPr>
        <w:contextualSpacing w:val="0"/>
      </w:pPr>
      <w:r>
        <w:t>HER2-mutant cervical cancer</w:t>
      </w:r>
    </w:p>
    <w:p w14:paraId="65CD53FB" w14:textId="15C8FECB" w:rsidR="00271405" w:rsidRPr="00271405" w:rsidRDefault="00271405" w:rsidP="00B16E49">
      <w:pPr>
        <w:pStyle w:val="BodyText"/>
      </w:pPr>
      <w:r w:rsidRPr="00271405">
        <w:lastRenderedPageBreak/>
        <w:t>All other indications are considered experimental/investigational and not medically necessary.</w:t>
      </w:r>
    </w:p>
    <w:p w14:paraId="36381B6D" w14:textId="789F4EFE" w:rsidR="000D2496" w:rsidRPr="003E63A2" w:rsidRDefault="000D2496" w:rsidP="000D2496">
      <w:pPr>
        <w:pStyle w:val="Heading2"/>
      </w:pPr>
      <w:r w:rsidRPr="00BD1CC1">
        <w:t>Documentation</w:t>
      </w:r>
    </w:p>
    <w:p w14:paraId="78503E5E" w14:textId="0971F4E9" w:rsidR="00271405" w:rsidRPr="00271405" w:rsidRDefault="00271405" w:rsidP="00B16E49">
      <w:pPr>
        <w:pStyle w:val="BodyText"/>
      </w:pPr>
      <w:r w:rsidRPr="00271405">
        <w:t>Submission of human epidermal growth factor receptor 2 (HER2) status</w:t>
      </w:r>
      <w:r w:rsidR="00F572EF">
        <w:t xml:space="preserve"> or HER2 activating mutation</w:t>
      </w:r>
      <w:r w:rsidR="00BC55FF">
        <w:t xml:space="preserve"> status</w:t>
      </w:r>
      <w:r w:rsidRPr="00271405">
        <w:t xml:space="preserve"> is necessary to initiate the prior authorization review.</w:t>
      </w:r>
    </w:p>
    <w:p w14:paraId="50A38FBA" w14:textId="12A66A26" w:rsidR="00FE0C63" w:rsidRDefault="00685107" w:rsidP="00E050E1">
      <w:pPr>
        <w:pStyle w:val="Heading2"/>
      </w:pPr>
      <w:r>
        <w:t>Coverage Criteria</w:t>
      </w:r>
    </w:p>
    <w:p w14:paraId="5EC8A066" w14:textId="68E98103" w:rsidR="00C840CC" w:rsidRDefault="00C840CC" w:rsidP="00C840CC">
      <w:pPr>
        <w:pStyle w:val="Heading3"/>
      </w:pPr>
      <w:r w:rsidRPr="00C840CC">
        <w:t>Breast cancer</w:t>
      </w:r>
      <w:r w:rsidRPr="00B16E49">
        <w:rPr>
          <w:vertAlign w:val="superscript"/>
        </w:rPr>
        <w:t>1-3</w:t>
      </w:r>
    </w:p>
    <w:p w14:paraId="12510823" w14:textId="77777777" w:rsidR="00C840CC" w:rsidRPr="00B16E49" w:rsidRDefault="00C840CC" w:rsidP="00B16E49">
      <w:pPr>
        <w:pStyle w:val="ListParagraph"/>
        <w:numPr>
          <w:ilvl w:val="0"/>
          <w:numId w:val="33"/>
        </w:numPr>
        <w:contextualSpacing w:val="0"/>
      </w:pPr>
      <w:r w:rsidRPr="00B16E49">
        <w:t>Authorization of up to 12 months total may be granted for treatment of early stage HER2-positive breast cancer when the requested medication will be initiated after completing adjuvant trastuzumab-based therapy when used as a single agent.</w:t>
      </w:r>
    </w:p>
    <w:p w14:paraId="0BFD17B4" w14:textId="0134E38A" w:rsidR="00C840CC" w:rsidRDefault="00C840CC" w:rsidP="00B16E49">
      <w:pPr>
        <w:pStyle w:val="ListParagraph"/>
        <w:numPr>
          <w:ilvl w:val="0"/>
          <w:numId w:val="33"/>
        </w:numPr>
        <w:contextualSpacing w:val="0"/>
      </w:pPr>
      <w:r w:rsidRPr="00B16E49">
        <w:t>Authorization of 12 months may be granted for treatment of breast cancer with no response to preoperative systemic therapy or recurrent or metastatic (including brain metastases) HER2-positive breast cancer in combination with capecitabine.</w:t>
      </w:r>
    </w:p>
    <w:p w14:paraId="33A70E40" w14:textId="7410237C" w:rsidR="00963387" w:rsidRDefault="00F00B5D" w:rsidP="00B16E49">
      <w:pPr>
        <w:pStyle w:val="ListParagraph"/>
        <w:numPr>
          <w:ilvl w:val="0"/>
          <w:numId w:val="33"/>
        </w:numPr>
        <w:contextualSpacing w:val="0"/>
      </w:pPr>
      <w:r>
        <w:t xml:space="preserve">Authorization </w:t>
      </w:r>
      <w:r w:rsidRPr="00B16E49">
        <w:t>of 12 months may be granted for treatment of</w:t>
      </w:r>
      <w:r>
        <w:t xml:space="preserve"> metastatic</w:t>
      </w:r>
      <w:r w:rsidRPr="00B16E49">
        <w:t xml:space="preserve"> breast cancer</w:t>
      </w:r>
      <w:r>
        <w:t xml:space="preserve"> with HER2 activating mutations when used in combination with fulvestrant and trastuzumab</w:t>
      </w:r>
      <w:r w:rsidR="00F572EF">
        <w:t xml:space="preserve"> for third-line or later therapy</w:t>
      </w:r>
      <w:r w:rsidR="00963387">
        <w:t xml:space="preserve"> when either of the following criteria are met:</w:t>
      </w:r>
    </w:p>
    <w:p w14:paraId="2BCECCD2" w14:textId="589C2BFD" w:rsidR="00F00B5D" w:rsidRDefault="00963387" w:rsidP="00963387">
      <w:pPr>
        <w:pStyle w:val="ListParagraph"/>
        <w:numPr>
          <w:ilvl w:val="0"/>
          <w:numId w:val="34"/>
        </w:numPr>
        <w:contextualSpacing w:val="0"/>
      </w:pPr>
      <w:r>
        <w:t>The disease is hormone receptor positive and HER2-negative and the member previously received a cyclin-dependent kinase 4 and 6 (CDK4/6</w:t>
      </w:r>
      <w:r w:rsidR="00F60A3C">
        <w:t>)</w:t>
      </w:r>
      <w:r>
        <w:t xml:space="preserve"> inhibitor</w:t>
      </w:r>
      <w:r w:rsidR="00333658">
        <w:t xml:space="preserve"> [e.g., </w:t>
      </w:r>
      <w:proofErr w:type="spellStart"/>
      <w:r w:rsidR="00333658">
        <w:t>Ibrance</w:t>
      </w:r>
      <w:proofErr w:type="spellEnd"/>
      <w:r w:rsidR="00333658">
        <w:t xml:space="preserve"> (</w:t>
      </w:r>
      <w:r w:rsidR="00706FAC">
        <w:t>palbociclib)</w:t>
      </w:r>
      <w:r w:rsidR="00333658">
        <w:t xml:space="preserve">, </w:t>
      </w:r>
      <w:proofErr w:type="spellStart"/>
      <w:r w:rsidR="00333658">
        <w:t>Kisqali</w:t>
      </w:r>
      <w:proofErr w:type="spellEnd"/>
      <w:r w:rsidR="00333658">
        <w:t xml:space="preserve"> (</w:t>
      </w:r>
      <w:proofErr w:type="spellStart"/>
      <w:r w:rsidR="00333658">
        <w:t>ribociclib</w:t>
      </w:r>
      <w:proofErr w:type="spellEnd"/>
      <w:r w:rsidR="00333658">
        <w:t>), Verzenio (abemaciclib)</w:t>
      </w:r>
      <w:r w:rsidR="00785D5A">
        <w:t>]</w:t>
      </w:r>
    </w:p>
    <w:p w14:paraId="514F8716" w14:textId="1E4870F0" w:rsidR="00963387" w:rsidRDefault="00963387" w:rsidP="00CF2FAF">
      <w:pPr>
        <w:pStyle w:val="ListParagraph"/>
        <w:numPr>
          <w:ilvl w:val="0"/>
          <w:numId w:val="34"/>
        </w:numPr>
        <w:contextualSpacing w:val="0"/>
      </w:pPr>
      <w:r>
        <w:t>The disease is triple negative</w:t>
      </w:r>
    </w:p>
    <w:p w14:paraId="7336BA61" w14:textId="24832EDC" w:rsidR="006F516F" w:rsidRPr="00EA5875" w:rsidRDefault="006F516F" w:rsidP="006F516F">
      <w:pPr>
        <w:pStyle w:val="Heading3"/>
      </w:pPr>
      <w:r w:rsidRPr="00EA5875">
        <w:t>Cervical Cancer</w:t>
      </w:r>
      <w:r w:rsidRPr="00B16E49">
        <w:rPr>
          <w:vertAlign w:val="superscript"/>
        </w:rPr>
        <w:t>3</w:t>
      </w:r>
    </w:p>
    <w:p w14:paraId="15991D2B" w14:textId="6B7E2F69" w:rsidR="006F516F" w:rsidRPr="00EA5875" w:rsidRDefault="006F516F" w:rsidP="006F516F">
      <w:pPr>
        <w:pStyle w:val="BodyText"/>
        <w:rPr>
          <w:rFonts w:eastAsia="Arial"/>
        </w:rPr>
      </w:pPr>
      <w:r w:rsidRPr="00EA5875">
        <w:rPr>
          <w:rFonts w:eastAsia="Arial"/>
        </w:rPr>
        <w:t>Authorization of 12 months may be granted for subsequent treatment of recurrent or metastatic HER2-</w:t>
      </w:r>
      <w:r>
        <w:rPr>
          <w:rFonts w:eastAsia="Arial"/>
        </w:rPr>
        <w:t>mutant</w:t>
      </w:r>
      <w:r w:rsidRPr="00EA5875">
        <w:rPr>
          <w:rFonts w:eastAsia="Arial"/>
        </w:rPr>
        <w:t xml:space="preserve"> cervical cancer when used as a single agent.</w:t>
      </w:r>
    </w:p>
    <w:p w14:paraId="3A643EC3" w14:textId="154301A8" w:rsidR="00A501AC" w:rsidRPr="00C840CC" w:rsidRDefault="00A501AC" w:rsidP="00A501AC">
      <w:pPr>
        <w:pStyle w:val="Heading2"/>
      </w:pPr>
      <w:r w:rsidRPr="00BD1CC1">
        <w:t>Continuation of Therapy</w:t>
      </w:r>
    </w:p>
    <w:p w14:paraId="37002325" w14:textId="596E4DAC" w:rsidR="00C840CC" w:rsidRDefault="00C840CC" w:rsidP="00C840CC">
      <w:pPr>
        <w:pStyle w:val="BodyText"/>
      </w:pPr>
      <w:r w:rsidRPr="00C840CC">
        <w:t xml:space="preserve">Authorization of 12 months may be granted for continued treatment in members requesting reauthorization for an indication </w:t>
      </w:r>
      <w:r w:rsidR="00542297">
        <w:t>listed</w:t>
      </w:r>
      <w:r w:rsidRPr="00C840CC">
        <w:t xml:space="preserve"> in the coverage criteria section when there is no evidence of unacceptable toxicity or disease progression while on the current regimen. Adjuvant treatment of early-stage breast cancer will be approved for a total of 12 months of therapy.</w:t>
      </w: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</w:p>
    <w:p w14:paraId="10DA4309" w14:textId="46A3594E" w:rsidR="00FF66BF" w:rsidRPr="008D1B34" w:rsidRDefault="00FF66BF" w:rsidP="00C840CC">
      <w:pPr>
        <w:pStyle w:val="Heading2"/>
      </w:pPr>
      <w:r w:rsidRPr="008D1B34">
        <w:t>References</w:t>
      </w:r>
    </w:p>
    <w:p w14:paraId="157104CB" w14:textId="77777777" w:rsidR="00C840CC" w:rsidRDefault="00C840CC" w:rsidP="00C840CC">
      <w:pPr>
        <w:pStyle w:val="ReferenceOrdered"/>
      </w:pPr>
      <w:r>
        <w:t>Nerlynx [package insert]. Los Angeles, CA: Puma Biotechnology, Inc.; March 2022.</w:t>
      </w:r>
    </w:p>
    <w:p w14:paraId="2BD196BF" w14:textId="77777777" w:rsidR="00C840CC" w:rsidRDefault="00C840CC" w:rsidP="00C840CC">
      <w:pPr>
        <w:pStyle w:val="ReferenceOrdered"/>
      </w:pPr>
      <w:r>
        <w:t xml:space="preserve">Chan A, </w:t>
      </w:r>
      <w:proofErr w:type="spellStart"/>
      <w:r>
        <w:t>Delaloge</w:t>
      </w:r>
      <w:proofErr w:type="spellEnd"/>
      <w:r>
        <w:t xml:space="preserve"> S, Holmes FA, et al. Neratinib after trastuzumab-based adjuvant therapy in patients with HER2-positive breast cancer (</w:t>
      </w:r>
      <w:proofErr w:type="spellStart"/>
      <w:r>
        <w:t>ExteNET</w:t>
      </w:r>
      <w:proofErr w:type="spellEnd"/>
      <w:r>
        <w:t xml:space="preserve">): a </w:t>
      </w:r>
      <w:proofErr w:type="spellStart"/>
      <w:r>
        <w:t>multicentre</w:t>
      </w:r>
      <w:proofErr w:type="spellEnd"/>
      <w:r>
        <w:t xml:space="preserve">, </w:t>
      </w:r>
      <w:proofErr w:type="spellStart"/>
      <w:r>
        <w:t>randomised</w:t>
      </w:r>
      <w:proofErr w:type="spellEnd"/>
      <w:r>
        <w:t>, double-blind, placebo-controlled, phase 3 trial. Lancet Oncol. 2016; 17(3):367-77.</w:t>
      </w:r>
    </w:p>
    <w:p w14:paraId="2290DD4D" w14:textId="7E78BD81" w:rsidR="00C840CC" w:rsidRDefault="00C840CC" w:rsidP="00C840CC">
      <w:pPr>
        <w:pStyle w:val="ReferenceOrdered"/>
      </w:pPr>
      <w:r>
        <w:t>The NCCN Drugs &amp; Biologics Compendium® © 202</w:t>
      </w:r>
      <w:r w:rsidR="006F516F">
        <w:t>5</w:t>
      </w:r>
      <w:r>
        <w:t xml:space="preserve"> National Comprehensive Cancer Network, Inc. Available at: http://www.nccn.org. Accessed </w:t>
      </w:r>
      <w:r w:rsidR="009953D7">
        <w:t>February</w:t>
      </w:r>
      <w:r>
        <w:t xml:space="preserve"> </w:t>
      </w:r>
      <w:r w:rsidR="009953D7">
        <w:t>1</w:t>
      </w:r>
      <w:r w:rsidR="006F516F">
        <w:t>2</w:t>
      </w:r>
      <w:r>
        <w:t>, 202</w:t>
      </w:r>
      <w:r w:rsidR="006F516F">
        <w:t>5</w:t>
      </w:r>
      <w:r>
        <w:t>.</w:t>
      </w:r>
    </w:p>
    <w:sectPr w:rsidR="00C840CC" w:rsidSect="000F1089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B7CFE" w14:textId="77777777" w:rsidR="00B83DE2" w:rsidRDefault="00B83DE2">
      <w:r>
        <w:separator/>
      </w:r>
    </w:p>
  </w:endnote>
  <w:endnote w:type="continuationSeparator" w:id="0">
    <w:p w14:paraId="35ACF408" w14:textId="77777777" w:rsidR="00B83DE2" w:rsidRDefault="00B83DE2">
      <w:r>
        <w:continuationSeparator/>
      </w:r>
    </w:p>
  </w:endnote>
  <w:endnote w:type="continuationNotice" w:id="1">
    <w:p w14:paraId="674E91CC" w14:textId="77777777" w:rsidR="00B83DE2" w:rsidRDefault="00B83D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E002FF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728F5" w:rsidRPr="00A728F5">
      <w:rPr>
        <w:rFonts w:cs="Arial"/>
        <w:noProof/>
        <w:sz w:val="16"/>
        <w:szCs w:val="16"/>
      </w:rPr>
      <w:t>Nerlynx</w:t>
    </w:r>
    <w:r w:rsidR="00A728F5">
      <w:rPr>
        <w:rFonts w:cs="Arial"/>
        <w:noProof/>
        <w:snapToGrid w:val="0"/>
        <w:color w:val="000000"/>
        <w:sz w:val="16"/>
        <w:szCs w:val="16"/>
      </w:rPr>
      <w:t xml:space="preserve"> SGM 2178-A</w:t>
    </w:r>
    <w:r w:rsidR="00A728F5" w:rsidRPr="00A728F5">
      <w:rPr>
        <w:rFonts w:cs="Arial"/>
        <w:noProof/>
        <w:sz w:val="16"/>
        <w:szCs w:val="16"/>
      </w:rPr>
      <w:t xml:space="preserve"> P2025b.docx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A636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1293A5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43F0BAC" w:rsidR="00F75C81" w:rsidRPr="00AA1E6A" w:rsidRDefault="00C36B72" w:rsidP="003D5CA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01A63F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728F5" w:rsidRPr="00A728F5">
      <w:rPr>
        <w:rFonts w:cs="Arial"/>
        <w:noProof/>
        <w:sz w:val="16"/>
        <w:szCs w:val="16"/>
      </w:rPr>
      <w:t>Nerlynx</w:t>
    </w:r>
    <w:r w:rsidR="00A728F5">
      <w:rPr>
        <w:rFonts w:cs="Arial"/>
        <w:noProof/>
        <w:snapToGrid w:val="0"/>
        <w:color w:val="000000"/>
        <w:sz w:val="16"/>
        <w:szCs w:val="16"/>
      </w:rPr>
      <w:t xml:space="preserve"> SGM 2178-A</w:t>
    </w:r>
    <w:r w:rsidR="00A728F5" w:rsidRPr="00A728F5">
      <w:rPr>
        <w:rFonts w:cs="Arial"/>
        <w:noProof/>
        <w:sz w:val="16"/>
        <w:szCs w:val="16"/>
      </w:rPr>
      <w:t xml:space="preserve"> P2025b.docx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A636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5B0F1B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F719C78" w:rsidR="00ED04EC" w:rsidRPr="00F50D98" w:rsidRDefault="00F50D98" w:rsidP="003D5CA4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C9E3" w14:textId="1958C9DE" w:rsidR="00B16E49" w:rsidRPr="00B16E49" w:rsidRDefault="00B16E49" w:rsidP="00B16E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31FCE" w14:textId="77777777" w:rsidR="00B83DE2" w:rsidRDefault="00B83DE2">
      <w:r>
        <w:separator/>
      </w:r>
    </w:p>
  </w:footnote>
  <w:footnote w:type="continuationSeparator" w:id="0">
    <w:p w14:paraId="30534CEE" w14:textId="77777777" w:rsidR="00B83DE2" w:rsidRDefault="00B83DE2">
      <w:r>
        <w:continuationSeparator/>
      </w:r>
    </w:p>
  </w:footnote>
  <w:footnote w:type="continuationNotice" w:id="1">
    <w:p w14:paraId="536000D1" w14:textId="77777777" w:rsidR="00B83DE2" w:rsidRDefault="00B83D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8B4613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0EF5F99" w:rsidR="00ED04EC" w:rsidRPr="004C7F1D" w:rsidRDefault="00271405" w:rsidP="008B4613">
          <w:pPr>
            <w:pStyle w:val="RefTableData"/>
          </w:pPr>
          <w:r>
            <w:t>2178-A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8B4613" w:rsidRPr="00ED04EC" w14:paraId="0C547E15" w14:textId="77777777" w:rsidTr="00D7259F">
      <w:trPr>
        <w:trHeight w:val="144"/>
        <w:jc w:val="right"/>
      </w:trPr>
      <w:tc>
        <w:tcPr>
          <w:tcW w:w="1854" w:type="dxa"/>
          <w:hideMark/>
        </w:tcPr>
        <w:p w14:paraId="21DF3DD9" w14:textId="77777777" w:rsidR="008B4613" w:rsidRPr="00AA1E6A" w:rsidRDefault="008B4613" w:rsidP="008B4613">
          <w:pPr>
            <w:pStyle w:val="RefTableData"/>
          </w:pPr>
          <w:r w:rsidRPr="00AA1E6A">
            <w:t>Reference number(s)</w:t>
          </w:r>
        </w:p>
      </w:tc>
    </w:tr>
    <w:tr w:rsidR="008B4613" w:rsidRPr="00ED04EC" w14:paraId="5E7C1CEA" w14:textId="77777777" w:rsidTr="00D7259F">
      <w:trPr>
        <w:trHeight w:val="378"/>
        <w:jc w:val="right"/>
      </w:trPr>
      <w:tc>
        <w:tcPr>
          <w:tcW w:w="1854" w:type="dxa"/>
          <w:hideMark/>
        </w:tcPr>
        <w:p w14:paraId="2075B3B6" w14:textId="77777777" w:rsidR="008B4613" w:rsidRPr="004C7F1D" w:rsidRDefault="008B4613" w:rsidP="008B4613">
          <w:pPr>
            <w:pStyle w:val="RefTableData"/>
          </w:pPr>
          <w:r>
            <w:t>2178-A</w:t>
          </w:r>
        </w:p>
      </w:tc>
    </w:tr>
  </w:tbl>
  <w:p w14:paraId="77703CC3" w14:textId="77777777" w:rsidR="008B4613" w:rsidRPr="008B4613" w:rsidRDefault="008B461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0F5000"/>
    <w:multiLevelType w:val="hybridMultilevel"/>
    <w:tmpl w:val="92CE8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327D48"/>
    <w:multiLevelType w:val="hybridMultilevel"/>
    <w:tmpl w:val="EF96F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313462"/>
    <w:multiLevelType w:val="hybridMultilevel"/>
    <w:tmpl w:val="9E6640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5916C12"/>
    <w:multiLevelType w:val="multilevel"/>
    <w:tmpl w:val="778211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4E33B5"/>
    <w:multiLevelType w:val="hybridMultilevel"/>
    <w:tmpl w:val="D1B0C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35505"/>
    <w:multiLevelType w:val="hybridMultilevel"/>
    <w:tmpl w:val="D2FE0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65CBB"/>
    <w:multiLevelType w:val="hybridMultilevel"/>
    <w:tmpl w:val="691A6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2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3"/>
  </w:num>
  <w:num w:numId="22" w16cid:durableId="1472481103">
    <w:abstractNumId w:val="27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20"/>
  </w:num>
  <w:num w:numId="26" w16cid:durableId="1950313333">
    <w:abstractNumId w:val="23"/>
  </w:num>
  <w:num w:numId="27" w16cid:durableId="1866016584">
    <w:abstractNumId w:val="22"/>
  </w:num>
  <w:num w:numId="28" w16cid:durableId="1379166474">
    <w:abstractNumId w:val="31"/>
  </w:num>
  <w:num w:numId="29" w16cid:durableId="933635565">
    <w:abstractNumId w:val="18"/>
  </w:num>
  <w:num w:numId="30" w16cid:durableId="559748540">
    <w:abstractNumId w:val="11"/>
  </w:num>
  <w:num w:numId="31" w16cid:durableId="676424514">
    <w:abstractNumId w:val="14"/>
  </w:num>
  <w:num w:numId="32" w16cid:durableId="632176542">
    <w:abstractNumId w:val="28"/>
  </w:num>
  <w:num w:numId="33" w16cid:durableId="1368989151">
    <w:abstractNumId w:val="19"/>
  </w:num>
  <w:num w:numId="34" w16cid:durableId="1719469827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355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0A6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08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A77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101E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730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851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1405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4D64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56A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658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00EB"/>
    <w:rsid w:val="003C1EA0"/>
    <w:rsid w:val="003C219B"/>
    <w:rsid w:val="003C2846"/>
    <w:rsid w:val="003C2DBA"/>
    <w:rsid w:val="003C2F46"/>
    <w:rsid w:val="003C3628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5CA4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3A2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297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208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6C40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A71"/>
    <w:rsid w:val="006C45E5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16F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AC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1ED7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5D5A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6364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158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4613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1A7F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387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3D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1A39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28F5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30A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6E49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194C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50F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3DE2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0B6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5FF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68A3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0CC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BF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2FAF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1F7C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4C9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307C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3D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9D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6262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805"/>
    <w:rsid w:val="00EC7F26"/>
    <w:rsid w:val="00ED012B"/>
    <w:rsid w:val="00ED02F9"/>
    <w:rsid w:val="00ED0444"/>
    <w:rsid w:val="00ED04EC"/>
    <w:rsid w:val="00ED052F"/>
    <w:rsid w:val="00ED0E29"/>
    <w:rsid w:val="00ED12FB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49B"/>
    <w:rsid w:val="00EF7611"/>
    <w:rsid w:val="00EF7741"/>
    <w:rsid w:val="00EF78D0"/>
    <w:rsid w:val="00EF7C69"/>
    <w:rsid w:val="00F00080"/>
    <w:rsid w:val="00F00778"/>
    <w:rsid w:val="00F00B5D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4D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3852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2EF"/>
    <w:rsid w:val="00F579AF"/>
    <w:rsid w:val="00F602A6"/>
    <w:rsid w:val="00F60A3C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0EDB-49CD-4F33-8796-FC25724AC809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3192</Characters>
  <Application>Microsoft Office Word</Application>
  <DocSecurity>0</DocSecurity>
  <Lines>67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Nerlynx 2178-A SGM 2024</vt:lpstr>
    </vt:vector>
  </TitlesOfParts>
  <Company>PCS Health Systems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Nerlynx SGM 2178-A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2025-05-06T17:38:00Z</dcterms:created>
  <dcterms:modified xsi:type="dcterms:W3CDTF">2025-05-06T17:39:00Z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1140300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